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1F" w:rsidRPr="00B240E8" w:rsidRDefault="001A431F" w:rsidP="001A431F">
      <w:pPr>
        <w:autoSpaceDE w:val="0"/>
        <w:autoSpaceDN w:val="0"/>
        <w:adjustRightInd w:val="0"/>
        <w:spacing w:line="276" w:lineRule="auto"/>
        <w:jc w:val="both"/>
        <w:rPr>
          <w:bCs/>
          <w:noProof/>
          <w:lang w:val="hu-HU"/>
        </w:rPr>
      </w:pPr>
      <w:r w:rsidRPr="00B240E8">
        <w:rPr>
          <w:b/>
          <w:bCs/>
          <w:noProof/>
          <w:lang w:val="ro-RO"/>
        </w:rPr>
        <w:t>Nume și prenume:</w:t>
      </w:r>
      <w:r w:rsidRPr="00B240E8">
        <w:rPr>
          <w:bCs/>
          <w:noProof/>
          <w:lang w:val="ro-RO"/>
        </w:rPr>
        <w:t xml:space="preserve"> </w:t>
      </w:r>
      <w:r w:rsidRPr="00B31BF2">
        <w:rPr>
          <w:b/>
          <w:bCs/>
          <w:noProof/>
          <w:lang w:val="ro-RO"/>
        </w:rPr>
        <w:t>J</w:t>
      </w:r>
      <w:r w:rsidRPr="00B31BF2">
        <w:rPr>
          <w:b/>
          <w:bCs/>
          <w:noProof/>
          <w:lang w:val="hu-HU"/>
        </w:rPr>
        <w:t>ÁNOS Szabolcs</w:t>
      </w:r>
    </w:p>
    <w:p w:rsidR="001A431F" w:rsidRPr="00B240E8" w:rsidRDefault="001A431F" w:rsidP="001A431F">
      <w:pPr>
        <w:autoSpaceDE w:val="0"/>
        <w:autoSpaceDN w:val="0"/>
        <w:adjustRightInd w:val="0"/>
        <w:spacing w:line="276" w:lineRule="auto"/>
        <w:jc w:val="both"/>
        <w:rPr>
          <w:bCs/>
          <w:noProof/>
          <w:lang w:val="ro-RO"/>
        </w:rPr>
      </w:pPr>
      <w:r w:rsidRPr="00B240E8">
        <w:rPr>
          <w:b/>
          <w:bCs/>
          <w:noProof/>
          <w:lang w:val="ro-RO"/>
        </w:rPr>
        <w:t>Gradul didactic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conferențiar universitar</w:t>
      </w:r>
    </w:p>
    <w:p w:rsidR="001A431F" w:rsidRPr="00B240E8" w:rsidRDefault="001A431F" w:rsidP="001A431F">
      <w:pPr>
        <w:spacing w:line="276" w:lineRule="auto"/>
        <w:rPr>
          <w:bCs/>
          <w:iCs/>
          <w:lang w:val="ro-RO"/>
        </w:rPr>
      </w:pPr>
      <w:r w:rsidRPr="00B240E8">
        <w:rPr>
          <w:b/>
          <w:bCs/>
          <w:iCs/>
          <w:lang w:val="ro-RO"/>
        </w:rPr>
        <w:t>Instituția unde este titular:</w:t>
      </w:r>
      <w:r w:rsidRPr="00B240E8">
        <w:rPr>
          <w:bCs/>
          <w:iCs/>
          <w:lang w:val="ro-RO"/>
        </w:rPr>
        <w:t xml:space="preserve"> Universitatea Creștină </w:t>
      </w:r>
      <w:proofErr w:type="spellStart"/>
      <w:r w:rsidRPr="00B240E8">
        <w:rPr>
          <w:bCs/>
          <w:iCs/>
          <w:lang w:val="ro-RO"/>
        </w:rPr>
        <w:t>Partium</w:t>
      </w:r>
      <w:proofErr w:type="spellEnd"/>
    </w:p>
    <w:p w:rsidR="001A431F" w:rsidRPr="00B240E8" w:rsidRDefault="001A431F" w:rsidP="001A431F">
      <w:pPr>
        <w:autoSpaceDE w:val="0"/>
        <w:autoSpaceDN w:val="0"/>
        <w:adjustRightInd w:val="0"/>
        <w:spacing w:line="276" w:lineRule="auto"/>
        <w:jc w:val="both"/>
        <w:rPr>
          <w:noProof/>
          <w:lang w:val="ro-RO"/>
        </w:rPr>
      </w:pPr>
      <w:r w:rsidRPr="00B240E8">
        <w:rPr>
          <w:b/>
          <w:noProof/>
          <w:lang w:val="ro-RO"/>
        </w:rPr>
        <w:t>Facultatea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Facultatea de Litere și Arte</w:t>
      </w:r>
    </w:p>
    <w:p w:rsidR="001A431F" w:rsidRPr="00B240E8" w:rsidRDefault="001A431F" w:rsidP="001A431F">
      <w:pPr>
        <w:autoSpaceDE w:val="0"/>
        <w:autoSpaceDN w:val="0"/>
        <w:adjustRightInd w:val="0"/>
        <w:spacing w:line="276" w:lineRule="auto"/>
        <w:jc w:val="both"/>
        <w:rPr>
          <w:noProof/>
          <w:lang w:val="ro-RO"/>
        </w:rPr>
      </w:pPr>
      <w:r w:rsidRPr="00B240E8">
        <w:rPr>
          <w:b/>
          <w:noProof/>
          <w:lang w:val="ro-RO"/>
        </w:rPr>
        <w:t>Departamentul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</w:t>
      </w:r>
      <w:r w:rsidRPr="00B240E8">
        <w:rPr>
          <w:noProof/>
          <w:lang w:val="ro-RO"/>
        </w:rPr>
        <w:t>Departamentul de Limbă și Literatură</w:t>
      </w:r>
    </w:p>
    <w:p w:rsidR="001A431F" w:rsidRPr="00B240E8" w:rsidRDefault="001A431F" w:rsidP="001A431F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1A431F" w:rsidRPr="00B240E8" w:rsidRDefault="001A431F" w:rsidP="001A431F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1A431F" w:rsidRPr="00B240E8" w:rsidRDefault="001A431F" w:rsidP="001A431F">
      <w:pPr>
        <w:autoSpaceDE w:val="0"/>
        <w:autoSpaceDN w:val="0"/>
        <w:adjustRightInd w:val="0"/>
        <w:spacing w:line="320" w:lineRule="atLeast"/>
        <w:jc w:val="center"/>
        <w:rPr>
          <w:b/>
          <w:noProof/>
          <w:spacing w:val="100"/>
          <w:lang w:val="ro-RO"/>
        </w:rPr>
      </w:pPr>
      <w:r w:rsidRPr="00B240E8">
        <w:rPr>
          <w:b/>
          <w:noProof/>
          <w:spacing w:val="100"/>
          <w:lang w:val="ro-RO"/>
        </w:rPr>
        <w:t>LISTA</w:t>
      </w:r>
    </w:p>
    <w:p w:rsidR="001A431F" w:rsidRPr="00B240E8" w:rsidRDefault="001A431F" w:rsidP="001A431F">
      <w:pPr>
        <w:autoSpaceDE w:val="0"/>
        <w:autoSpaceDN w:val="0"/>
        <w:adjustRightInd w:val="0"/>
        <w:spacing w:line="320" w:lineRule="atLeast"/>
        <w:jc w:val="center"/>
        <w:rPr>
          <w:b/>
          <w:lang w:val="ro-RO"/>
        </w:rPr>
      </w:pPr>
      <w:r w:rsidRPr="00B240E8">
        <w:rPr>
          <w:b/>
          <w:lang w:val="ro-RO"/>
        </w:rPr>
        <w:t>lucrărilor ştiinţifice în domeniul disciplinelor din postul didactic</w:t>
      </w:r>
    </w:p>
    <w:p w:rsidR="001A431F" w:rsidRPr="00B240E8" w:rsidRDefault="001A431F" w:rsidP="001A431F">
      <w:pPr>
        <w:autoSpaceDE w:val="0"/>
        <w:autoSpaceDN w:val="0"/>
        <w:adjustRightInd w:val="0"/>
        <w:spacing w:line="320" w:lineRule="atLeast"/>
        <w:rPr>
          <w:noProof/>
          <w:lang w:val="ro-RO"/>
        </w:rPr>
      </w:pPr>
    </w:p>
    <w:p w:rsidR="001A431F" w:rsidRPr="00B240E8" w:rsidRDefault="001A431F" w:rsidP="001A431F">
      <w:pPr>
        <w:tabs>
          <w:tab w:val="left" w:pos="399"/>
        </w:tabs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1A431F" w:rsidRPr="00B240E8" w:rsidRDefault="001A431F" w:rsidP="001A431F">
      <w:pPr>
        <w:pStyle w:val="ListParagraph"/>
        <w:numPr>
          <w:ilvl w:val="0"/>
          <w:numId w:val="4"/>
        </w:numPr>
        <w:tabs>
          <w:tab w:val="left" w:pos="399"/>
        </w:tabs>
        <w:autoSpaceDE w:val="0"/>
        <w:autoSpaceDN w:val="0"/>
        <w:adjustRightInd w:val="0"/>
        <w:spacing w:after="0" w:line="320" w:lineRule="atLeast"/>
        <w:ind w:hanging="720"/>
        <w:jc w:val="both"/>
        <w:rPr>
          <w:rFonts w:ascii="Times New Roman" w:hAnsi="Times New Roman"/>
          <w:b/>
          <w:noProof/>
          <w:sz w:val="24"/>
          <w:szCs w:val="24"/>
          <w:lang w:val="ro-RO"/>
        </w:rPr>
      </w:pPr>
      <w:r w:rsidRPr="00B240E8">
        <w:rPr>
          <w:rFonts w:ascii="Times New Roman" w:hAnsi="Times New Roman"/>
          <w:b/>
          <w:noProof/>
          <w:sz w:val="24"/>
          <w:szCs w:val="24"/>
          <w:lang w:val="ro-RO"/>
        </w:rPr>
        <w:t>Teza de doctorat</w:t>
      </w:r>
    </w:p>
    <w:p w:rsidR="001A431F" w:rsidRPr="00B240E8" w:rsidRDefault="001A431F" w:rsidP="001A431F">
      <w:pPr>
        <w:pStyle w:val="ListParagraph"/>
        <w:tabs>
          <w:tab w:val="left" w:pos="142"/>
          <w:tab w:val="left" w:pos="399"/>
        </w:tabs>
        <w:spacing w:line="320" w:lineRule="atLeast"/>
        <w:jc w:val="both"/>
        <w:rPr>
          <w:rFonts w:ascii="Times New Roman" w:hAnsi="Times New Roman"/>
          <w:noProof/>
          <w:spacing w:val="-2"/>
          <w:sz w:val="24"/>
          <w:szCs w:val="24"/>
          <w:lang w:val="ro-RO"/>
        </w:rPr>
      </w:pPr>
    </w:p>
    <w:p w:rsidR="001A431F" w:rsidRPr="00B240E8" w:rsidRDefault="001A431F" w:rsidP="001A431F">
      <w:pPr>
        <w:pStyle w:val="ListParagraph"/>
        <w:numPr>
          <w:ilvl w:val="0"/>
          <w:numId w:val="5"/>
        </w:numPr>
        <w:tabs>
          <w:tab w:val="left" w:pos="142"/>
          <w:tab w:val="left" w:pos="399"/>
        </w:tabs>
        <w:spacing w:line="320" w:lineRule="atLeast"/>
        <w:jc w:val="both"/>
        <w:rPr>
          <w:rFonts w:ascii="Times New Roman" w:hAnsi="Times New Roman"/>
          <w:noProof/>
          <w:spacing w:val="-2"/>
          <w:sz w:val="24"/>
          <w:szCs w:val="24"/>
          <w:lang w:val="ro-RO"/>
        </w:rPr>
      </w:pPr>
      <w:r w:rsidRPr="00B240E8">
        <w:rPr>
          <w:rFonts w:ascii="Times New Roman" w:hAnsi="Times New Roman"/>
          <w:i/>
          <w:noProof/>
          <w:spacing w:val="-2"/>
          <w:sz w:val="24"/>
          <w:szCs w:val="24"/>
          <w:lang w:val="ro-RO"/>
        </w:rPr>
        <w:t xml:space="preserve">Az érzékenység drámái a magyar nyelvű színjátszás gyakorlatában. </w:t>
      </w:r>
      <w:r w:rsidRPr="00B240E8">
        <w:rPr>
          <w:rFonts w:ascii="Times New Roman" w:hAnsi="Times New Roman"/>
          <w:i/>
          <w:noProof/>
          <w:spacing w:val="-2"/>
          <w:sz w:val="24"/>
          <w:szCs w:val="24"/>
          <w:lang w:val="hu-HU"/>
        </w:rPr>
        <w:t>[</w:t>
      </w:r>
      <w:r w:rsidRPr="00B240E8">
        <w:rPr>
          <w:rFonts w:ascii="Times New Roman" w:hAnsi="Times New Roman"/>
          <w:i/>
          <w:noProof/>
          <w:spacing w:val="-2"/>
          <w:sz w:val="24"/>
          <w:szCs w:val="24"/>
          <w:lang w:val="ro-RO"/>
        </w:rPr>
        <w:t>Piese sentimentaliste în formarea şi evoluţia teatrului maghiar.]</w:t>
      </w:r>
      <w:r w:rsidRPr="00B240E8">
        <w:rPr>
          <w:rFonts w:ascii="Times New Roman" w:hAnsi="Times New Roman"/>
          <w:noProof/>
          <w:spacing w:val="-2"/>
          <w:sz w:val="24"/>
          <w:szCs w:val="24"/>
          <w:lang w:val="ro-RO"/>
        </w:rPr>
        <w:t xml:space="preserve"> Universitatea Babeș-Bolyai, Cluj-Napoca, 2006.</w:t>
      </w:r>
    </w:p>
    <w:p w:rsidR="001A431F" w:rsidRPr="00B240E8" w:rsidRDefault="001A431F" w:rsidP="001A431F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:rsidR="001A431F" w:rsidRPr="00B240E8" w:rsidRDefault="001A431F" w:rsidP="001A431F">
      <w:pPr>
        <w:numPr>
          <w:ilvl w:val="0"/>
          <w:numId w:val="4"/>
        </w:numPr>
        <w:tabs>
          <w:tab w:val="left" w:pos="142"/>
          <w:tab w:val="left" w:pos="399"/>
        </w:tabs>
        <w:spacing w:line="320" w:lineRule="atLeast"/>
        <w:ind w:hanging="720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 xml:space="preserve">Cărţi si capitole în cărţi </w:t>
      </w:r>
      <w:r w:rsidRPr="00B240E8">
        <w:rPr>
          <w:b/>
          <w:lang w:val="ro-RO"/>
        </w:rPr>
        <w:t xml:space="preserve">publicate în ultimii 10 ani </w:t>
      </w:r>
    </w:p>
    <w:p w:rsidR="001A431F" w:rsidRPr="00B240E8" w:rsidRDefault="001A431F" w:rsidP="001A431F">
      <w:pPr>
        <w:pStyle w:val="NormalWeb"/>
        <w:numPr>
          <w:ilvl w:val="0"/>
          <w:numId w:val="1"/>
        </w:numPr>
        <w:jc w:val="both"/>
      </w:pPr>
      <w:r w:rsidRPr="00B240E8">
        <w:t xml:space="preserve">Kitörési kísérlet. </w:t>
      </w:r>
      <w:proofErr w:type="spellStart"/>
      <w:r w:rsidRPr="00B240E8">
        <w:t>Taub</w:t>
      </w:r>
      <w:proofErr w:type="spellEnd"/>
      <w:r w:rsidRPr="00B240E8">
        <w:t xml:space="preserve"> János: A róka meg a szőlő, 1958. </w:t>
      </w:r>
      <w:proofErr w:type="spellStart"/>
      <w:r w:rsidRPr="00B240E8">
        <w:t>In</w:t>
      </w:r>
      <w:proofErr w:type="spellEnd"/>
      <w:r w:rsidRPr="00B240E8">
        <w:t xml:space="preserve">: Boros, Kinga; </w:t>
      </w:r>
      <w:proofErr w:type="spellStart"/>
      <w:r w:rsidRPr="00B240E8">
        <w:t>Jákfalvi</w:t>
      </w:r>
      <w:proofErr w:type="spellEnd"/>
      <w:r w:rsidRPr="00B240E8">
        <w:t xml:space="preserve">, Magdolna; </w:t>
      </w:r>
      <w:proofErr w:type="spellStart"/>
      <w:r w:rsidRPr="00B240E8">
        <w:t>Kékesi-Kun</w:t>
      </w:r>
      <w:proofErr w:type="spellEnd"/>
      <w:r w:rsidRPr="00B240E8">
        <w:t xml:space="preserve">, Árpád (szerk.): </w:t>
      </w:r>
      <w:r w:rsidRPr="00B240E8">
        <w:rPr>
          <w:rStyle w:val="Emphasis"/>
        </w:rPr>
        <w:t>Nagyváradi magyar színháztörténet 1950</w:t>
      </w:r>
      <w:r w:rsidRPr="00B240E8">
        <w:t>–</w:t>
      </w:r>
      <w:r w:rsidRPr="00B240E8">
        <w:rPr>
          <w:rStyle w:val="Emphasis"/>
        </w:rPr>
        <w:t xml:space="preserve">1990. </w:t>
      </w:r>
      <w:proofErr w:type="spellStart"/>
      <w:r w:rsidRPr="00B240E8">
        <w:rPr>
          <w:rStyle w:val="Emphasis"/>
        </w:rPr>
        <w:t>Philther-elemzések</w:t>
      </w:r>
      <w:proofErr w:type="spellEnd"/>
      <w:r w:rsidRPr="00B240E8">
        <w:rPr>
          <w:rStyle w:val="Emphasis"/>
        </w:rPr>
        <w:t>.</w:t>
      </w:r>
      <w:r w:rsidRPr="00B240E8">
        <w:t xml:space="preserve"> Kolozsvár–Marosvásárhely: Erdélyi </w:t>
      </w:r>
      <w:proofErr w:type="spellStart"/>
      <w:r w:rsidRPr="00B240E8">
        <w:t>Múzeum-Egyesület</w:t>
      </w:r>
      <w:proofErr w:type="spellEnd"/>
      <w:r w:rsidRPr="00B240E8">
        <w:t>–</w:t>
      </w:r>
      <w:proofErr w:type="spellStart"/>
      <w:r w:rsidRPr="00B240E8">
        <w:t>UArtPress</w:t>
      </w:r>
      <w:proofErr w:type="spellEnd"/>
      <w:r w:rsidRPr="00B240E8">
        <w:t xml:space="preserve"> Kiadó, 2022, 61-76.</w:t>
      </w:r>
    </w:p>
    <w:p w:rsidR="001A431F" w:rsidRPr="00B240E8" w:rsidRDefault="001A431F" w:rsidP="001A431F">
      <w:pPr>
        <w:pStyle w:val="NormalWeb"/>
        <w:numPr>
          <w:ilvl w:val="0"/>
          <w:numId w:val="1"/>
        </w:numPr>
        <w:jc w:val="both"/>
      </w:pPr>
      <w:r w:rsidRPr="00B240E8">
        <w:t xml:space="preserve">"Életképből életképecske". Gábor József: Luxemburg grófja, 1967. </w:t>
      </w:r>
      <w:proofErr w:type="spellStart"/>
      <w:r w:rsidRPr="00B240E8">
        <w:t>In</w:t>
      </w:r>
      <w:proofErr w:type="spellEnd"/>
      <w:r w:rsidRPr="00B240E8">
        <w:t xml:space="preserve">: Boros, Kinga; </w:t>
      </w:r>
      <w:proofErr w:type="spellStart"/>
      <w:r w:rsidRPr="00B240E8">
        <w:t>Jákfalvi</w:t>
      </w:r>
      <w:proofErr w:type="spellEnd"/>
      <w:r w:rsidRPr="00B240E8">
        <w:t xml:space="preserve">, Magdolna; </w:t>
      </w:r>
      <w:proofErr w:type="spellStart"/>
      <w:r w:rsidRPr="00B240E8">
        <w:t>Kékesi-Kun</w:t>
      </w:r>
      <w:proofErr w:type="spellEnd"/>
      <w:r w:rsidRPr="00B240E8">
        <w:t xml:space="preserve">, Árpád (szerk.): </w:t>
      </w:r>
      <w:r w:rsidRPr="00B240E8">
        <w:rPr>
          <w:rStyle w:val="Emphasis"/>
        </w:rPr>
        <w:t>Nagyváradi magyar színháztörténet 1950</w:t>
      </w:r>
      <w:r w:rsidRPr="00B240E8">
        <w:t>–</w:t>
      </w:r>
      <w:r w:rsidRPr="00B240E8">
        <w:rPr>
          <w:rStyle w:val="Emphasis"/>
        </w:rPr>
        <w:t xml:space="preserve">1990. </w:t>
      </w:r>
      <w:proofErr w:type="spellStart"/>
      <w:r w:rsidRPr="00B240E8">
        <w:rPr>
          <w:rStyle w:val="Emphasis"/>
        </w:rPr>
        <w:t>Philther-elemzések</w:t>
      </w:r>
      <w:proofErr w:type="spellEnd"/>
      <w:r w:rsidRPr="00B240E8">
        <w:rPr>
          <w:rStyle w:val="Emphasis"/>
        </w:rPr>
        <w:t xml:space="preserve">. </w:t>
      </w:r>
      <w:r w:rsidRPr="00B240E8">
        <w:t xml:space="preserve">Kolozsvár–Marosvásárhely: Erdélyi </w:t>
      </w:r>
      <w:proofErr w:type="spellStart"/>
      <w:r w:rsidRPr="00B240E8">
        <w:t>Múzeum-Egyesület</w:t>
      </w:r>
      <w:proofErr w:type="spellEnd"/>
      <w:r w:rsidRPr="00B240E8">
        <w:t>–</w:t>
      </w:r>
      <w:proofErr w:type="spellStart"/>
      <w:r w:rsidRPr="00B240E8">
        <w:t>UArtPress</w:t>
      </w:r>
      <w:proofErr w:type="spellEnd"/>
      <w:r w:rsidRPr="00B240E8">
        <w:t xml:space="preserve"> Kiadó, 2022, 88–103.</w:t>
      </w:r>
    </w:p>
    <w:p w:rsidR="001A431F" w:rsidRPr="00B240E8" w:rsidRDefault="001A431F" w:rsidP="001A431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hu-HU"/>
        </w:rPr>
        <w:t xml:space="preserve">Magyar főúri családok Bécs 18. századi színházi kultúrájában. </w:t>
      </w:r>
      <w:proofErr w:type="spellStart"/>
      <w:r w:rsidRPr="00B240E8">
        <w:rPr>
          <w:rFonts w:ascii="Times New Roman" w:hAnsi="Times New Roman"/>
          <w:sz w:val="24"/>
          <w:szCs w:val="24"/>
          <w:lang w:val="hu-HU"/>
        </w:rPr>
        <w:t>In</w:t>
      </w:r>
      <w:proofErr w:type="spellEnd"/>
      <w:r w:rsidRPr="00B240E8">
        <w:rPr>
          <w:rFonts w:ascii="Times New Roman" w:hAnsi="Times New Roman"/>
          <w:sz w:val="24"/>
          <w:szCs w:val="24"/>
          <w:lang w:val="hu-HU"/>
        </w:rPr>
        <w:t xml:space="preserve">: Nyerges Judit - </w:t>
      </w:r>
      <w:proofErr w:type="spellStart"/>
      <w:r w:rsidRPr="00B240E8">
        <w:rPr>
          <w:rFonts w:ascii="Times New Roman" w:hAnsi="Times New Roman"/>
          <w:sz w:val="24"/>
          <w:szCs w:val="24"/>
          <w:lang w:val="hu-HU"/>
        </w:rPr>
        <w:t>Verók</w:t>
      </w:r>
      <w:proofErr w:type="spellEnd"/>
      <w:r w:rsidRPr="00B240E8">
        <w:rPr>
          <w:rFonts w:ascii="Times New Roman" w:hAnsi="Times New Roman"/>
          <w:sz w:val="24"/>
          <w:szCs w:val="24"/>
          <w:lang w:val="hu-HU"/>
        </w:rPr>
        <w:t xml:space="preserve"> Attila - </w:t>
      </w:r>
      <w:proofErr w:type="spellStart"/>
      <w:r w:rsidRPr="00B240E8">
        <w:rPr>
          <w:rFonts w:ascii="Times New Roman" w:hAnsi="Times New Roman"/>
          <w:sz w:val="24"/>
          <w:szCs w:val="24"/>
          <w:lang w:val="hu-HU"/>
        </w:rPr>
        <w:t>Zvara</w:t>
      </w:r>
      <w:proofErr w:type="spellEnd"/>
      <w:r w:rsidRPr="00B240E8">
        <w:rPr>
          <w:rFonts w:ascii="Times New Roman" w:hAnsi="Times New Roman"/>
          <w:sz w:val="24"/>
          <w:szCs w:val="24"/>
          <w:lang w:val="hu-HU"/>
        </w:rPr>
        <w:t xml:space="preserve"> Edina (Szerk.): 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  <w:lang w:val="hu-HU"/>
        </w:rPr>
        <w:t>MONOKgraphia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  <w:lang w:val="hu-HU"/>
        </w:rPr>
        <w:t>. Művelődéstörténeti tanulmányok Monok István 60. születésnapjára</w:t>
      </w:r>
      <w:r w:rsidRPr="00B240E8">
        <w:rPr>
          <w:rFonts w:ascii="Times New Roman" w:hAnsi="Times New Roman"/>
          <w:sz w:val="24"/>
          <w:szCs w:val="24"/>
          <w:lang w:val="hu-HU"/>
        </w:rPr>
        <w:t xml:space="preserve">. </w:t>
      </w:r>
      <w:r w:rsidRPr="00B240E8">
        <w:rPr>
          <w:rFonts w:ascii="Times New Roman" w:hAnsi="Times New Roman"/>
          <w:sz w:val="24"/>
          <w:szCs w:val="24"/>
        </w:rPr>
        <w:t xml:space="preserve">Budapest, Kossuth </w:t>
      </w:r>
      <w:proofErr w:type="spellStart"/>
      <w:r w:rsidRPr="00B240E8">
        <w:rPr>
          <w:rFonts w:ascii="Times New Roman" w:hAnsi="Times New Roman"/>
          <w:sz w:val="24"/>
          <w:szCs w:val="24"/>
        </w:rPr>
        <w:t>Kiadó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2016, 341-346. </w:t>
      </w:r>
    </w:p>
    <w:p w:rsidR="001A431F" w:rsidRPr="00B240E8" w:rsidRDefault="001A431F" w:rsidP="001A431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Style w:val="Emphasis"/>
          <w:rFonts w:ascii="Times New Roman" w:hAnsi="Times New Roman"/>
          <w:sz w:val="24"/>
          <w:szCs w:val="24"/>
          <w:lang w:val="de-AT"/>
        </w:rPr>
        <w:t>„</w:t>
      </w:r>
      <w:r w:rsidRPr="00B240E8">
        <w:rPr>
          <w:rFonts w:ascii="Times New Roman" w:hAnsi="Times New Roman"/>
          <w:sz w:val="24"/>
          <w:szCs w:val="24"/>
          <w:lang w:val="de-AT"/>
        </w:rPr>
        <w:t>Man tadelt auch – doch mit Verstand.</w:t>
      </w:r>
      <w:r w:rsidRPr="00B240E8">
        <w:rPr>
          <w:rStyle w:val="Emphasis"/>
          <w:rFonts w:ascii="Times New Roman" w:hAnsi="Times New Roman"/>
          <w:sz w:val="24"/>
          <w:szCs w:val="24"/>
          <w:lang w:val="de-AT"/>
        </w:rPr>
        <w:t>”</w:t>
      </w:r>
      <w:r w:rsidRPr="00B240E8">
        <w:rPr>
          <w:rFonts w:ascii="Times New Roman" w:hAnsi="Times New Roman"/>
          <w:sz w:val="24"/>
          <w:szCs w:val="24"/>
          <w:lang w:val="de-AT"/>
        </w:rPr>
        <w:t xml:space="preserve"> Die siebenbürgische Theaterpresse im 18. Jahrhundert.</w:t>
      </w:r>
      <w:r w:rsidRPr="00B240E8">
        <w:rPr>
          <w:rStyle w:val="Emphasis"/>
          <w:rFonts w:ascii="Times New Roman" w:hAnsi="Times New Roman"/>
          <w:sz w:val="24"/>
          <w:szCs w:val="24"/>
          <w:lang w:val="de-AT"/>
        </w:rPr>
        <w:t xml:space="preserve"> </w:t>
      </w:r>
      <w:r w:rsidRPr="00B240E8">
        <w:rPr>
          <w:rFonts w:ascii="Times New Roman" w:hAnsi="Times New Roman"/>
          <w:sz w:val="24"/>
          <w:szCs w:val="24"/>
          <w:lang w:val="de-AT"/>
        </w:rPr>
        <w:t>In:</w:t>
      </w:r>
      <w:r w:rsidRPr="00B240E8">
        <w:rPr>
          <w:rStyle w:val="Emphasis"/>
          <w:rFonts w:ascii="Times New Roman" w:hAnsi="Times New Roman"/>
          <w:sz w:val="24"/>
          <w:szCs w:val="24"/>
          <w:lang w:val="de-AT"/>
        </w:rPr>
        <w:t xml:space="preserve"> Ein Land mit Eigenschaften: Sprache, Literatur und Kultur in Ungarn in transnationalen Kontexten. Zentraleuropäische Studien für Andrea Seidler.</w:t>
      </w:r>
      <w:r w:rsidRPr="00B240E8">
        <w:rPr>
          <w:rFonts w:ascii="Times New Roman" w:hAnsi="Times New Roman"/>
          <w:sz w:val="24"/>
          <w:szCs w:val="24"/>
          <w:lang w:val="de-AT"/>
        </w:rPr>
        <w:t xml:space="preserve"> Hg. von Márta Csire, Erika Erlinghagen, Zsuzsa Gáti, Brigitta Pesti, Wolfgang Müller-Funk. </w:t>
      </w:r>
      <w:r w:rsidRPr="00B240E8">
        <w:rPr>
          <w:rFonts w:ascii="Times New Roman" w:hAnsi="Times New Roman"/>
          <w:sz w:val="24"/>
          <w:szCs w:val="24"/>
        </w:rPr>
        <w:t xml:space="preserve">Wien: </w:t>
      </w:r>
      <w:proofErr w:type="spellStart"/>
      <w:r w:rsidRPr="00B240E8">
        <w:rPr>
          <w:rFonts w:ascii="Times New Roman" w:hAnsi="Times New Roman"/>
          <w:sz w:val="24"/>
          <w:szCs w:val="24"/>
        </w:rPr>
        <w:t>Praesens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Verlag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2015, S. 119-130. </w:t>
      </w:r>
    </w:p>
    <w:p w:rsidR="001A431F" w:rsidRPr="00B240E8" w:rsidRDefault="001A431F" w:rsidP="001A431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ro-RO"/>
        </w:rPr>
        <w:t xml:space="preserve">Balogh Brigitta, 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Szabolcs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Magyari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Sára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Szilágyi Ferenc,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Nagyvárad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kulturális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öröksége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Eszterházy Károly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Főiskola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Eger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>, 2015.</w:t>
      </w:r>
    </w:p>
    <w:p w:rsidR="001A431F" w:rsidRPr="00B240E8" w:rsidRDefault="001A431F" w:rsidP="001A431F">
      <w:pPr>
        <w:pStyle w:val="ListParagraph1"/>
        <w:numPr>
          <w:ilvl w:val="0"/>
          <w:numId w:val="1"/>
        </w:numPr>
        <w:tabs>
          <w:tab w:val="left" w:pos="399"/>
        </w:tabs>
        <w:spacing w:line="320" w:lineRule="atLeast"/>
        <w:jc w:val="both"/>
        <w:rPr>
          <w:rFonts w:ascii="Times New Roman" w:hAnsi="Times New Roman"/>
          <w:noProof/>
          <w:sz w:val="24"/>
          <w:szCs w:val="24"/>
        </w:rPr>
      </w:pPr>
      <w:proofErr w:type="spellStart"/>
      <w:r w:rsidRPr="00B240E8">
        <w:rPr>
          <w:rFonts w:ascii="Times New Roman" w:hAnsi="Times New Roman"/>
          <w:sz w:val="24"/>
          <w:szCs w:val="24"/>
        </w:rPr>
        <w:t>Szigetvárad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40E8">
        <w:rPr>
          <w:rFonts w:ascii="Times New Roman" w:hAnsi="Times New Roman"/>
          <w:sz w:val="24"/>
          <w:szCs w:val="24"/>
        </w:rPr>
        <w:t>Drámakézirat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Nagyvárad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1660-as </w:t>
      </w:r>
      <w:proofErr w:type="spellStart"/>
      <w:r w:rsidRPr="00B240E8">
        <w:rPr>
          <w:rFonts w:ascii="Times New Roman" w:hAnsi="Times New Roman"/>
          <w:sz w:val="24"/>
          <w:szCs w:val="24"/>
        </w:rPr>
        <w:t>ostromáról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. In: 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</w:rPr>
        <w:t>Szín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</w:rPr>
        <w:t>–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</w:rPr>
        <w:t>játék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</w:rPr>
        <w:t>–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</w:rPr>
        <w:t>költészet.Tanulmányok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</w:rPr>
        <w:t xml:space="preserve"> a 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</w:rPr>
        <w:t>nyolcvanéves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</w:rPr>
        <w:t>Kilián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</w:rPr>
        <w:t xml:space="preserve"> István </w:t>
      </w:r>
      <w:proofErr w:type="spellStart"/>
      <w:r w:rsidRPr="00B240E8">
        <w:rPr>
          <w:rStyle w:val="Emphasis"/>
          <w:rFonts w:ascii="Times New Roman" w:hAnsi="Times New Roman"/>
          <w:sz w:val="24"/>
          <w:szCs w:val="24"/>
        </w:rPr>
        <w:t>tiszteletére</w:t>
      </w:r>
      <w:proofErr w:type="spellEnd"/>
      <w:r w:rsidRPr="00B240E8">
        <w:rPr>
          <w:rStyle w:val="Emphasis"/>
          <w:rFonts w:ascii="Times New Roman" w:hAnsi="Times New Roman"/>
          <w:sz w:val="24"/>
          <w:szCs w:val="24"/>
        </w:rPr>
        <w:t xml:space="preserve">. </w:t>
      </w:r>
      <w:proofErr w:type="spellStart"/>
      <w:r w:rsidRPr="00B240E8">
        <w:rPr>
          <w:rFonts w:ascii="Times New Roman" w:hAnsi="Times New Roman"/>
          <w:sz w:val="24"/>
          <w:szCs w:val="24"/>
        </w:rPr>
        <w:t>Szerk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240E8">
        <w:rPr>
          <w:rFonts w:ascii="Times New Roman" w:hAnsi="Times New Roman"/>
          <w:sz w:val="24"/>
          <w:szCs w:val="24"/>
        </w:rPr>
        <w:t>Czibula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Katalin, Demeter </w:t>
      </w:r>
      <w:proofErr w:type="spellStart"/>
      <w:r w:rsidRPr="00B240E8">
        <w:rPr>
          <w:rFonts w:ascii="Times New Roman" w:hAnsi="Times New Roman"/>
          <w:sz w:val="24"/>
          <w:szCs w:val="24"/>
        </w:rPr>
        <w:t>Júlia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</w:rPr>
        <w:t>Pintér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Márta </w:t>
      </w:r>
      <w:proofErr w:type="spellStart"/>
      <w:r w:rsidRPr="00B240E8">
        <w:rPr>
          <w:rFonts w:ascii="Times New Roman" w:hAnsi="Times New Roman"/>
          <w:sz w:val="24"/>
          <w:szCs w:val="24"/>
        </w:rPr>
        <w:t>Zsuzsanna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240E8">
        <w:rPr>
          <w:rFonts w:ascii="Times New Roman" w:hAnsi="Times New Roman"/>
          <w:sz w:val="24"/>
          <w:szCs w:val="24"/>
        </w:rPr>
        <w:t>Budapest-Nagyvárad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240E8">
        <w:rPr>
          <w:rFonts w:ascii="Times New Roman" w:hAnsi="Times New Roman"/>
          <w:sz w:val="24"/>
          <w:szCs w:val="24"/>
        </w:rPr>
        <w:t>Partium-Protea-reciti</w:t>
      </w:r>
      <w:proofErr w:type="spellEnd"/>
      <w:r w:rsidRPr="00B240E8">
        <w:rPr>
          <w:rFonts w:ascii="Times New Roman" w:hAnsi="Times New Roman"/>
          <w:sz w:val="24"/>
          <w:szCs w:val="24"/>
        </w:rPr>
        <w:t>, 2013, 355</w:t>
      </w:r>
      <w:r w:rsidRPr="00B240E8">
        <w:rPr>
          <w:rStyle w:val="Emphasis"/>
          <w:rFonts w:ascii="Times New Roman" w:hAnsi="Times New Roman"/>
          <w:sz w:val="24"/>
          <w:szCs w:val="24"/>
        </w:rPr>
        <w:t>–</w:t>
      </w:r>
      <w:r w:rsidRPr="00B240E8">
        <w:rPr>
          <w:rFonts w:ascii="Times New Roman" w:hAnsi="Times New Roman"/>
          <w:sz w:val="24"/>
          <w:szCs w:val="24"/>
        </w:rPr>
        <w:t>360.</w:t>
      </w:r>
    </w:p>
    <w:p w:rsidR="001A431F" w:rsidRPr="00B240E8" w:rsidRDefault="001A431F" w:rsidP="001A431F">
      <w:pPr>
        <w:pStyle w:val="ListParagraph1"/>
        <w:tabs>
          <w:tab w:val="left" w:pos="399"/>
        </w:tabs>
        <w:spacing w:line="32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1A431F" w:rsidRPr="00B240E8" w:rsidRDefault="001A431F" w:rsidP="001A431F">
      <w:pPr>
        <w:numPr>
          <w:ilvl w:val="0"/>
          <w:numId w:val="4"/>
        </w:numPr>
        <w:tabs>
          <w:tab w:val="left" w:pos="142"/>
          <w:tab w:val="left" w:pos="399"/>
        </w:tabs>
        <w:spacing w:line="320" w:lineRule="atLeast"/>
        <w:ind w:left="714" w:hanging="714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lastRenderedPageBreak/>
        <w:t xml:space="preserve">Lucrări indexate ISI/BDI </w:t>
      </w:r>
      <w:r w:rsidRPr="00B240E8">
        <w:rPr>
          <w:b/>
          <w:lang w:val="ro-RO"/>
        </w:rPr>
        <w:t xml:space="preserve">publicate în ultimii 10 ani </w:t>
      </w:r>
    </w:p>
    <w:p w:rsidR="001A431F" w:rsidRPr="00B240E8" w:rsidRDefault="001A431F" w:rsidP="001A431F">
      <w:pPr>
        <w:pStyle w:val="ListParagraph"/>
        <w:numPr>
          <w:ilvl w:val="0"/>
          <w:numId w:val="3"/>
        </w:numPr>
        <w:tabs>
          <w:tab w:val="left" w:pos="142"/>
          <w:tab w:val="left" w:pos="399"/>
        </w:tabs>
        <w:spacing w:after="0" w:line="320" w:lineRule="atLeast"/>
        <w:jc w:val="both"/>
        <w:rPr>
          <w:rFonts w:ascii="Times New Roman" w:hAnsi="Times New Roman"/>
          <w:noProof/>
          <w:spacing w:val="-2"/>
          <w:sz w:val="24"/>
          <w:szCs w:val="24"/>
          <w:lang w:val="ro-RO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„Die Starken, Helden wanken, doch Theresia stehet.“ Siebenbürgische Traueroden zum Tode Maria Theresias. </w:t>
      </w:r>
      <w:r w:rsidRPr="00B240E8">
        <w:rPr>
          <w:rFonts w:ascii="Times New Roman" w:hAnsi="Times New Roman"/>
          <w:sz w:val="24"/>
          <w:szCs w:val="24"/>
        </w:rPr>
        <w:t xml:space="preserve">In: </w:t>
      </w:r>
      <w:r w:rsidRPr="00B240E8">
        <w:rPr>
          <w:rStyle w:val="Emphasis"/>
          <w:rFonts w:ascii="Times New Roman" w:hAnsi="Times New Roman"/>
          <w:sz w:val="24"/>
          <w:szCs w:val="24"/>
        </w:rPr>
        <w:t>Hungarian Studies</w:t>
      </w:r>
      <w:r w:rsidRPr="00B240E8">
        <w:rPr>
          <w:rStyle w:val="Strong"/>
          <w:rFonts w:ascii="Times New Roman" w:hAnsi="Times New Roman"/>
          <w:i/>
          <w:iCs/>
          <w:sz w:val="24"/>
          <w:szCs w:val="24"/>
        </w:rPr>
        <w:t xml:space="preserve">. </w:t>
      </w:r>
      <w:r w:rsidRPr="00B240E8">
        <w:rPr>
          <w:rStyle w:val="Emphasis"/>
          <w:rFonts w:ascii="Times New Roman" w:hAnsi="Times New Roman"/>
          <w:sz w:val="24"/>
          <w:szCs w:val="24"/>
        </w:rPr>
        <w:t>A Journal of the International Association for Hungarian Studies</w:t>
      </w:r>
      <w:r w:rsidRPr="00B240E8">
        <w:rPr>
          <w:rFonts w:ascii="Times New Roman" w:hAnsi="Times New Roman"/>
          <w:sz w:val="24"/>
          <w:szCs w:val="24"/>
        </w:rPr>
        <w:t>. 32/2 (2018), S. 205–226.</w:t>
      </w:r>
    </w:p>
    <w:p w:rsidR="001A431F" w:rsidRPr="00B240E8" w:rsidRDefault="001A431F" w:rsidP="001A431F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:rsidR="001A431F" w:rsidRPr="00B240E8" w:rsidRDefault="001A431F" w:rsidP="001A431F">
      <w:pPr>
        <w:numPr>
          <w:ilvl w:val="0"/>
          <w:numId w:val="4"/>
        </w:numPr>
        <w:tabs>
          <w:tab w:val="left" w:pos="142"/>
          <w:tab w:val="left" w:pos="399"/>
        </w:tabs>
        <w:spacing w:line="320" w:lineRule="atLeast"/>
        <w:ind w:left="0" w:firstLine="0"/>
        <w:jc w:val="both"/>
        <w:rPr>
          <w:b/>
          <w:lang w:val="ro-RO"/>
        </w:rPr>
      </w:pPr>
      <w:r w:rsidRPr="00B240E8">
        <w:rPr>
          <w:b/>
          <w:lang w:val="ro-RO"/>
        </w:rPr>
        <w:t xml:space="preserve">Lucrări publicate în ultimii 10 anii în reviste şi volume de conferinţe cu referenţi (neindexate) </w:t>
      </w:r>
    </w:p>
    <w:p w:rsidR="001A431F" w:rsidRPr="00B240E8" w:rsidRDefault="001A431F" w:rsidP="001A431F">
      <w:pPr>
        <w:spacing w:line="320" w:lineRule="atLeast"/>
        <w:ind w:firstLine="426"/>
        <w:jc w:val="both"/>
        <w:rPr>
          <w:b/>
          <w:lang w:val="ro-RO"/>
        </w:rPr>
      </w:pPr>
      <w:r w:rsidRPr="00B240E8">
        <w:rPr>
          <w:b/>
          <w:lang w:val="ro-RO"/>
        </w:rPr>
        <w:t>Selecţie cu maximum 20 lucrări în volume de conferinţe</w:t>
      </w:r>
    </w:p>
    <w:p w:rsidR="001A431F" w:rsidRPr="00B240E8" w:rsidRDefault="001A431F" w:rsidP="001A431F">
      <w:pPr>
        <w:pStyle w:val="NormalWeb"/>
        <w:numPr>
          <w:ilvl w:val="0"/>
          <w:numId w:val="2"/>
        </w:numPr>
        <w:jc w:val="both"/>
      </w:pPr>
      <w:r w:rsidRPr="00B240E8">
        <w:t xml:space="preserve">„Mi is elibetek jövünk, </w:t>
      </w:r>
      <w:proofErr w:type="spellStart"/>
      <w:r w:rsidRPr="00B240E8">
        <w:t>Klingsor</w:t>
      </w:r>
      <w:proofErr w:type="spellEnd"/>
      <w:r w:rsidRPr="00B240E8">
        <w:t xml:space="preserve"> vitézei…” Találkozás, fordítás, közvetítés: a Pásztortűz, az Erdélyi Helikon és a </w:t>
      </w:r>
      <w:proofErr w:type="spellStart"/>
      <w:r w:rsidRPr="00B240E8">
        <w:t>Klingsor</w:t>
      </w:r>
      <w:proofErr w:type="spellEnd"/>
      <w:r w:rsidRPr="00B240E8">
        <w:t xml:space="preserve"> együttműködése a </w:t>
      </w:r>
      <w:proofErr w:type="spellStart"/>
      <w:r w:rsidRPr="00B240E8">
        <w:t>transzilvanizmus</w:t>
      </w:r>
      <w:proofErr w:type="spellEnd"/>
      <w:r w:rsidRPr="00B240E8">
        <w:t xml:space="preserve"> jegyében. </w:t>
      </w:r>
      <w:proofErr w:type="spellStart"/>
      <w:r w:rsidRPr="00B240E8">
        <w:t>In</w:t>
      </w:r>
      <w:proofErr w:type="spellEnd"/>
      <w:r w:rsidRPr="00B240E8">
        <w:t xml:space="preserve">: Busa, Krisztina; János, Szabolcs; </w:t>
      </w:r>
      <w:proofErr w:type="spellStart"/>
      <w:r w:rsidRPr="00B240E8">
        <w:t>Tamássy-Lénárt</w:t>
      </w:r>
      <w:proofErr w:type="spellEnd"/>
      <w:r w:rsidRPr="00B240E8">
        <w:t xml:space="preserve">, Orsolya (szerk.): </w:t>
      </w:r>
      <w:r w:rsidRPr="00B240E8">
        <w:rPr>
          <w:rStyle w:val="Emphasis"/>
        </w:rPr>
        <w:t xml:space="preserve">A </w:t>
      </w:r>
      <w:proofErr w:type="gramStart"/>
      <w:r w:rsidRPr="00B240E8">
        <w:rPr>
          <w:rStyle w:val="Emphasis"/>
        </w:rPr>
        <w:t>fordító</w:t>
      </w:r>
      <w:proofErr w:type="gramEnd"/>
      <w:r w:rsidRPr="00B240E8">
        <w:rPr>
          <w:rStyle w:val="Emphasis"/>
        </w:rPr>
        <w:t xml:space="preserve"> mint kultúra- és irodalomközvetítő 2</w:t>
      </w:r>
      <w:r w:rsidRPr="00B240E8">
        <w:t xml:space="preserve">. Kolozsvár–Nagyvárad: Erdélyi </w:t>
      </w:r>
      <w:proofErr w:type="spellStart"/>
      <w:r w:rsidRPr="00B240E8">
        <w:t>Múzeum-Egyesület</w:t>
      </w:r>
      <w:proofErr w:type="spellEnd"/>
      <w:r w:rsidRPr="00B240E8">
        <w:t>–Partium Kiadó, 2024.</w:t>
      </w:r>
    </w:p>
    <w:p w:rsidR="001A431F" w:rsidRPr="00B240E8" w:rsidRDefault="001A431F" w:rsidP="001A431F">
      <w:pPr>
        <w:pStyle w:val="NormalWeb"/>
        <w:numPr>
          <w:ilvl w:val="0"/>
          <w:numId w:val="2"/>
        </w:numPr>
        <w:jc w:val="both"/>
      </w:pPr>
      <w:r w:rsidRPr="00B240E8">
        <w:t>„.</w:t>
      </w:r>
      <w:proofErr w:type="gramStart"/>
      <w:r w:rsidRPr="00B240E8">
        <w:t>..</w:t>
      </w:r>
      <w:proofErr w:type="gramEnd"/>
      <w:r w:rsidRPr="00B240E8">
        <w:t xml:space="preserve"> úr, kancellista, pap, minden.” Fordítói elvek és arcélek, fordítások és nyelvhasználat a 18. század végének magyar színházi kultúrájában. </w:t>
      </w:r>
      <w:proofErr w:type="spellStart"/>
      <w:r w:rsidRPr="00B240E8">
        <w:t>In</w:t>
      </w:r>
      <w:proofErr w:type="spellEnd"/>
      <w:r w:rsidRPr="00B240E8">
        <w:t xml:space="preserve">: Busa, Krisztina; János, Szabolcs; </w:t>
      </w:r>
      <w:proofErr w:type="spellStart"/>
      <w:r w:rsidRPr="00B240E8">
        <w:t>Tamássy-Lénárt</w:t>
      </w:r>
      <w:proofErr w:type="spellEnd"/>
      <w:r w:rsidRPr="00B240E8">
        <w:t xml:space="preserve">, Orsolya (szerk.): </w:t>
      </w:r>
      <w:r w:rsidRPr="00B240E8">
        <w:rPr>
          <w:rStyle w:val="Emphasis"/>
        </w:rPr>
        <w:t xml:space="preserve">A </w:t>
      </w:r>
      <w:proofErr w:type="gramStart"/>
      <w:r w:rsidRPr="00B240E8">
        <w:rPr>
          <w:rStyle w:val="Emphasis"/>
        </w:rPr>
        <w:t>fordító</w:t>
      </w:r>
      <w:proofErr w:type="gramEnd"/>
      <w:r w:rsidRPr="00B240E8">
        <w:rPr>
          <w:rStyle w:val="Emphasis"/>
        </w:rPr>
        <w:t xml:space="preserve"> mint kultúra- és irodalomközvetítő</w:t>
      </w:r>
      <w:r w:rsidRPr="00B240E8">
        <w:t xml:space="preserve">. Kolozsvár–Nagyvárad: Erdélyi </w:t>
      </w:r>
      <w:proofErr w:type="spellStart"/>
      <w:r w:rsidRPr="00B240E8">
        <w:t>Múzeum-Egyesület</w:t>
      </w:r>
      <w:proofErr w:type="spellEnd"/>
      <w:r w:rsidRPr="00B240E8">
        <w:t>–Partium Kiadó, 2022, 281–300.</w:t>
      </w:r>
    </w:p>
    <w:p w:rsidR="001A431F" w:rsidRPr="00B240E8" w:rsidRDefault="001A431F" w:rsidP="001A431F">
      <w:pPr>
        <w:pStyle w:val="NormalWeb"/>
        <w:numPr>
          <w:ilvl w:val="0"/>
          <w:numId w:val="2"/>
        </w:numPr>
        <w:jc w:val="both"/>
      </w:pPr>
      <w:proofErr w:type="spellStart"/>
      <w:r w:rsidRPr="00B240E8">
        <w:t>Graf</w:t>
      </w:r>
      <w:proofErr w:type="spellEnd"/>
      <w:r w:rsidRPr="00B240E8">
        <w:t xml:space="preserve"> </w:t>
      </w:r>
      <w:proofErr w:type="spellStart"/>
      <w:r w:rsidRPr="00B240E8">
        <w:t>Benjowsky</w:t>
      </w:r>
      <w:proofErr w:type="spellEnd"/>
      <w:r w:rsidRPr="00B240E8">
        <w:t xml:space="preserve">: </w:t>
      </w:r>
      <w:proofErr w:type="spellStart"/>
      <w:r w:rsidRPr="00B240E8">
        <w:t>mitteleuropäischer</w:t>
      </w:r>
      <w:proofErr w:type="spellEnd"/>
      <w:r w:rsidRPr="00B240E8">
        <w:t xml:space="preserve"> </w:t>
      </w:r>
      <w:proofErr w:type="spellStart"/>
      <w:r w:rsidRPr="00B240E8">
        <w:t>Held</w:t>
      </w:r>
      <w:proofErr w:type="spellEnd"/>
      <w:r w:rsidRPr="00B240E8">
        <w:t xml:space="preserve">, </w:t>
      </w:r>
      <w:proofErr w:type="spellStart"/>
      <w:proofErr w:type="gramStart"/>
      <w:r w:rsidRPr="00B240E8">
        <w:t>ungarischer</w:t>
      </w:r>
      <w:proofErr w:type="spellEnd"/>
      <w:r w:rsidRPr="00B240E8">
        <w:t>(</w:t>
      </w:r>
      <w:proofErr w:type="gramEnd"/>
      <w:r w:rsidRPr="00B240E8">
        <w:t xml:space="preserve">?) </w:t>
      </w:r>
      <w:proofErr w:type="spellStart"/>
      <w:r w:rsidRPr="00B240E8">
        <w:t>Magnat</w:t>
      </w:r>
      <w:proofErr w:type="spellEnd"/>
      <w:r w:rsidRPr="00B240E8">
        <w:t xml:space="preserve"> und </w:t>
      </w:r>
      <w:proofErr w:type="spellStart"/>
      <w:r w:rsidRPr="00B240E8">
        <w:t>empfindsame</w:t>
      </w:r>
      <w:proofErr w:type="spellEnd"/>
      <w:r w:rsidRPr="00B240E8">
        <w:t xml:space="preserve"> </w:t>
      </w:r>
      <w:proofErr w:type="spellStart"/>
      <w:r w:rsidRPr="00B240E8">
        <w:t>Bühnenfigur</w:t>
      </w:r>
      <w:proofErr w:type="spellEnd"/>
      <w:r w:rsidRPr="00B240E8">
        <w:t xml:space="preserve">. </w:t>
      </w:r>
      <w:proofErr w:type="spellStart"/>
      <w:r w:rsidRPr="00B240E8">
        <w:t>In</w:t>
      </w:r>
      <w:proofErr w:type="spellEnd"/>
      <w:r w:rsidRPr="00B240E8">
        <w:t xml:space="preserve">: János, Szabolcs (Hg.): </w:t>
      </w:r>
      <w:proofErr w:type="spellStart"/>
      <w:r w:rsidRPr="00B240E8">
        <w:rPr>
          <w:rStyle w:val="Emphasis"/>
        </w:rPr>
        <w:t>Erinnerungsorte</w:t>
      </w:r>
      <w:proofErr w:type="spellEnd"/>
      <w:r w:rsidRPr="00B240E8">
        <w:rPr>
          <w:rStyle w:val="Emphasis"/>
        </w:rPr>
        <w:t xml:space="preserve"> und </w:t>
      </w:r>
      <w:proofErr w:type="spellStart"/>
      <w:r w:rsidRPr="00B240E8">
        <w:rPr>
          <w:rStyle w:val="Emphasis"/>
        </w:rPr>
        <w:t>Kulturtransferprozesse</w:t>
      </w:r>
      <w:proofErr w:type="spellEnd"/>
      <w:r w:rsidRPr="00B240E8">
        <w:rPr>
          <w:rStyle w:val="Emphasis"/>
        </w:rPr>
        <w:t xml:space="preserve"> </w:t>
      </w:r>
      <w:proofErr w:type="spellStart"/>
      <w:r w:rsidRPr="00B240E8">
        <w:rPr>
          <w:rStyle w:val="Emphasis"/>
        </w:rPr>
        <w:t>im</w:t>
      </w:r>
      <w:proofErr w:type="spellEnd"/>
      <w:r w:rsidRPr="00B240E8">
        <w:rPr>
          <w:rStyle w:val="Emphasis"/>
        </w:rPr>
        <w:t xml:space="preserve"> </w:t>
      </w:r>
      <w:proofErr w:type="spellStart"/>
      <w:r w:rsidRPr="00B240E8">
        <w:rPr>
          <w:rStyle w:val="Emphasis"/>
        </w:rPr>
        <w:t>südosteuropäischen</w:t>
      </w:r>
      <w:proofErr w:type="spellEnd"/>
      <w:r w:rsidRPr="00B240E8">
        <w:rPr>
          <w:rStyle w:val="Emphasis"/>
        </w:rPr>
        <w:t xml:space="preserve"> Raum: </w:t>
      </w:r>
      <w:proofErr w:type="spellStart"/>
      <w:r w:rsidRPr="00B240E8">
        <w:rPr>
          <w:rStyle w:val="Emphasis"/>
        </w:rPr>
        <w:t>Studien</w:t>
      </w:r>
      <w:proofErr w:type="spellEnd"/>
      <w:r w:rsidRPr="00B240E8">
        <w:rPr>
          <w:rStyle w:val="Emphasis"/>
        </w:rPr>
        <w:t xml:space="preserve"> </w:t>
      </w:r>
      <w:proofErr w:type="spellStart"/>
      <w:r w:rsidRPr="00B240E8">
        <w:rPr>
          <w:rStyle w:val="Emphasis"/>
        </w:rPr>
        <w:t>aus</w:t>
      </w:r>
      <w:proofErr w:type="spellEnd"/>
      <w:r w:rsidRPr="00B240E8">
        <w:rPr>
          <w:rStyle w:val="Emphasis"/>
        </w:rPr>
        <w:t xml:space="preserve"> </w:t>
      </w:r>
      <w:proofErr w:type="spellStart"/>
      <w:r w:rsidRPr="00B240E8">
        <w:rPr>
          <w:rStyle w:val="Emphasis"/>
        </w:rPr>
        <w:t>dem</w:t>
      </w:r>
      <w:proofErr w:type="spellEnd"/>
      <w:r w:rsidRPr="00B240E8">
        <w:rPr>
          <w:rStyle w:val="Emphasis"/>
        </w:rPr>
        <w:t xml:space="preserve"> </w:t>
      </w:r>
      <w:proofErr w:type="spellStart"/>
      <w:r w:rsidRPr="00B240E8">
        <w:rPr>
          <w:rStyle w:val="Emphasis"/>
        </w:rPr>
        <w:t>Bereich</w:t>
      </w:r>
      <w:proofErr w:type="spellEnd"/>
      <w:r w:rsidRPr="00B240E8">
        <w:rPr>
          <w:rStyle w:val="Emphasis"/>
        </w:rPr>
        <w:t xml:space="preserve"> der </w:t>
      </w:r>
      <w:proofErr w:type="spellStart"/>
      <w:r w:rsidRPr="00B240E8">
        <w:rPr>
          <w:rStyle w:val="Emphasis"/>
        </w:rPr>
        <w:t>Germanistik</w:t>
      </w:r>
      <w:proofErr w:type="spellEnd"/>
      <w:r w:rsidRPr="00B240E8">
        <w:rPr>
          <w:rStyle w:val="Emphasis"/>
        </w:rPr>
        <w:t xml:space="preserve">. </w:t>
      </w:r>
      <w:proofErr w:type="spellStart"/>
      <w:r w:rsidRPr="00B240E8">
        <w:t>Beiträge</w:t>
      </w:r>
      <w:proofErr w:type="spellEnd"/>
      <w:r w:rsidRPr="00B240E8">
        <w:t xml:space="preserve"> des 11. Internationalen </w:t>
      </w:r>
      <w:proofErr w:type="spellStart"/>
      <w:r w:rsidRPr="00B240E8">
        <w:t>Kongresses</w:t>
      </w:r>
      <w:proofErr w:type="spellEnd"/>
      <w:r w:rsidRPr="00B240E8">
        <w:t xml:space="preserve"> der </w:t>
      </w:r>
      <w:proofErr w:type="spellStart"/>
      <w:r w:rsidRPr="00B240E8">
        <w:t>Germanisten</w:t>
      </w:r>
      <w:proofErr w:type="spellEnd"/>
      <w:r w:rsidRPr="00B240E8">
        <w:t xml:space="preserve"> </w:t>
      </w:r>
      <w:proofErr w:type="spellStart"/>
      <w:r w:rsidRPr="00B240E8">
        <w:t>Rumäniens</w:t>
      </w:r>
      <w:proofErr w:type="spellEnd"/>
      <w:r w:rsidRPr="00B240E8">
        <w:t xml:space="preserve">, </w:t>
      </w:r>
      <w:proofErr w:type="spellStart"/>
      <w:r w:rsidRPr="00B240E8">
        <w:t>Großwardein</w:t>
      </w:r>
      <w:proofErr w:type="spellEnd"/>
      <w:r w:rsidRPr="00B240E8">
        <w:t xml:space="preserve"> / Nagyvárad / </w:t>
      </w:r>
      <w:proofErr w:type="spellStart"/>
      <w:r w:rsidRPr="00B240E8">
        <w:t>Oradea</w:t>
      </w:r>
      <w:proofErr w:type="spellEnd"/>
      <w:r w:rsidRPr="00B240E8">
        <w:t xml:space="preserve">, 3.–7. </w:t>
      </w:r>
      <w:proofErr w:type="spellStart"/>
      <w:r w:rsidRPr="00B240E8">
        <w:t>Juni</w:t>
      </w:r>
      <w:proofErr w:type="spellEnd"/>
      <w:r w:rsidRPr="00B240E8">
        <w:t xml:space="preserve"> 2018. Wien: </w:t>
      </w:r>
      <w:proofErr w:type="spellStart"/>
      <w:r w:rsidRPr="00B240E8">
        <w:t>Praesens</w:t>
      </w:r>
      <w:proofErr w:type="spellEnd"/>
      <w:r w:rsidRPr="00B240E8">
        <w:t xml:space="preserve"> </w:t>
      </w:r>
      <w:proofErr w:type="spellStart"/>
      <w:r w:rsidRPr="00B240E8">
        <w:t>Verlag</w:t>
      </w:r>
      <w:proofErr w:type="spellEnd"/>
      <w:r w:rsidRPr="00B240E8">
        <w:t>, 2020, 55–78.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B240E8">
        <w:rPr>
          <w:rFonts w:ascii="Times New Roman" w:hAnsi="Times New Roman"/>
          <w:sz w:val="24"/>
          <w:szCs w:val="24"/>
          <w:lang w:val="ro-RO"/>
        </w:rPr>
        <w:t xml:space="preserve">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Szabolcs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Régióképzetek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regionális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identitás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: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Erdély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Bánság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a 18–19.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századi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német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nyelvű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utazási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irodalom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tükrében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. In: 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Szabolcs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Verók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Attila, Albu-Balogh Andrea (ed.):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Az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irodalom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a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kultúra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éltető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közege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: A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lokális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i/>
          <w:sz w:val="24"/>
          <w:szCs w:val="24"/>
          <w:lang w:val="ro-RO"/>
        </w:rPr>
        <w:t xml:space="preserve"> a </w:t>
      </w:r>
      <w:proofErr w:type="spellStart"/>
      <w:r w:rsidRPr="00B240E8">
        <w:rPr>
          <w:rFonts w:ascii="Times New Roman" w:hAnsi="Times New Roman"/>
          <w:i/>
          <w:sz w:val="24"/>
          <w:szCs w:val="24"/>
          <w:lang w:val="ro-RO"/>
        </w:rPr>
        <w:t>regionális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Kolozsvár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Erdélyi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Múzeum-Egyesület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>, 2020, pp. 49–66., ISBN 978-606-739-169-5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ro-RO"/>
        </w:rPr>
        <w:t xml:space="preserve">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Szabolcs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Von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der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„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Strafkolonie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“ bis zum „Eldorado“: die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Neuentdeckung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des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Banats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im 18. </w:t>
      </w:r>
      <w:r w:rsidRPr="00B240E8">
        <w:rPr>
          <w:rFonts w:ascii="Times New Roman" w:hAnsi="Times New Roman"/>
          <w:sz w:val="24"/>
          <w:szCs w:val="24"/>
          <w:lang w:val="de-AT"/>
        </w:rPr>
        <w:t xml:space="preserve">Jahrhundert. In: Andrea Seidler, Wynfrid Kriegleder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Kulturelle Zirkulation im Habsburgerreich: Der Kommunikationsraum Wien</w:t>
      </w:r>
      <w:r w:rsidRPr="00B240E8">
        <w:rPr>
          <w:rFonts w:ascii="Times New Roman" w:hAnsi="Times New Roman"/>
          <w:sz w:val="24"/>
          <w:szCs w:val="24"/>
          <w:lang w:val="de-AT"/>
        </w:rPr>
        <w:t>, Bécs, Praesens, 2019, pp. 73–97., ISBN 9783706910330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Erinnerungsorte und Geschichtserinnerung im siebenbürgisch-deutschen Theater des 18.–19. </w:t>
      </w:r>
      <w:proofErr w:type="spellStart"/>
      <w:r w:rsidRPr="00B240E8">
        <w:rPr>
          <w:rFonts w:ascii="Times New Roman" w:hAnsi="Times New Roman"/>
          <w:sz w:val="24"/>
          <w:szCs w:val="24"/>
        </w:rPr>
        <w:t>Jahrhunderts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. In: </w:t>
      </w:r>
      <w:proofErr w:type="spellStart"/>
      <w:r w:rsidRPr="00B240E8">
        <w:rPr>
          <w:rFonts w:ascii="Times New Roman" w:hAnsi="Times New Roman"/>
          <w:sz w:val="24"/>
          <w:szCs w:val="24"/>
        </w:rPr>
        <w:t>Czibula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Katalin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Demeter </w:t>
      </w:r>
      <w:proofErr w:type="spellStart"/>
      <w:r w:rsidRPr="00B240E8">
        <w:rPr>
          <w:rFonts w:ascii="Times New Roman" w:hAnsi="Times New Roman"/>
          <w:sz w:val="24"/>
          <w:szCs w:val="24"/>
        </w:rPr>
        <w:t>Júlia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</w:rPr>
        <w:t>Pintér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Márta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Zsuzsanna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(ed.): </w:t>
      </w:r>
      <w:r w:rsidRPr="00B240E8">
        <w:rPr>
          <w:rFonts w:ascii="Times New Roman" w:hAnsi="Times New Roman"/>
          <w:i/>
          <w:sz w:val="24"/>
          <w:szCs w:val="24"/>
        </w:rPr>
        <w:t xml:space="preserve">Theory and Practice in 17 </w:t>
      </w:r>
      <w:proofErr w:type="spellStart"/>
      <w:proofErr w:type="gramStart"/>
      <w:r w:rsidRPr="00B240E8">
        <w:rPr>
          <w:rFonts w:ascii="Times New Roman" w:hAnsi="Times New Roman"/>
          <w:i/>
          <w:sz w:val="24"/>
          <w:szCs w:val="24"/>
        </w:rPr>
        <w:t>th</w:t>
      </w:r>
      <w:proofErr w:type="spellEnd"/>
      <w:proofErr w:type="gramEnd"/>
      <w:r w:rsidRPr="00B240E8">
        <w:rPr>
          <w:rFonts w:ascii="Times New Roman" w:hAnsi="Times New Roman"/>
          <w:i/>
          <w:sz w:val="24"/>
          <w:szCs w:val="24"/>
        </w:rPr>
        <w:t xml:space="preserve"> –19 </w:t>
      </w:r>
      <w:proofErr w:type="spellStart"/>
      <w:r w:rsidRPr="00B240E8">
        <w:rPr>
          <w:rFonts w:ascii="Times New Roman" w:hAnsi="Times New Roman"/>
          <w:i/>
          <w:sz w:val="24"/>
          <w:szCs w:val="24"/>
        </w:rPr>
        <w:t>th</w:t>
      </w:r>
      <w:proofErr w:type="spellEnd"/>
      <w:r w:rsidRPr="00B240E8">
        <w:rPr>
          <w:rFonts w:ascii="Times New Roman" w:hAnsi="Times New Roman"/>
          <w:i/>
          <w:sz w:val="24"/>
          <w:szCs w:val="24"/>
        </w:rPr>
        <w:t xml:space="preserve"> Century Theatre. </w:t>
      </w:r>
      <w:r w:rsidRPr="00B240E8">
        <w:rPr>
          <w:rFonts w:ascii="Times New Roman" w:hAnsi="Times New Roman"/>
          <w:i/>
          <w:sz w:val="24"/>
          <w:szCs w:val="24"/>
          <w:lang w:val="en-GB"/>
        </w:rPr>
        <w:t>Sources, influences, texts in Latin and in the vernacular, ways towards professional stage</w:t>
      </w:r>
      <w:r w:rsidRPr="00B240E8">
        <w:rPr>
          <w:rFonts w:ascii="Times New Roman" w:hAnsi="Times New Roman"/>
          <w:sz w:val="24"/>
          <w:szCs w:val="24"/>
          <w:lang w:val="en-GB"/>
        </w:rPr>
        <w:t xml:space="preserve">, Eger, </w:t>
      </w:r>
      <w:proofErr w:type="spellStart"/>
      <w:r w:rsidRPr="00B240E8">
        <w:rPr>
          <w:rFonts w:ascii="Times New Roman" w:hAnsi="Times New Roman"/>
          <w:sz w:val="24"/>
          <w:szCs w:val="24"/>
          <w:lang w:val="en-GB"/>
        </w:rPr>
        <w:t>Líceum</w:t>
      </w:r>
      <w:proofErr w:type="spellEnd"/>
      <w:r w:rsidRPr="00B240E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en-GB"/>
        </w:rPr>
        <w:t>Kiadó</w:t>
      </w:r>
      <w:proofErr w:type="spellEnd"/>
      <w:r w:rsidRPr="00B240E8">
        <w:rPr>
          <w:rFonts w:ascii="Times New Roman" w:hAnsi="Times New Roman"/>
          <w:sz w:val="24"/>
          <w:szCs w:val="24"/>
          <w:lang w:val="en-GB"/>
        </w:rPr>
        <w:t>, 2019, pp. 179–186., ISBN 978-963-496-129-1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Die Nord-Amerika-Reisebeschreibung des Siebenbürgers Sándor Bölöni Farkas aus dem Jahr 1834. In: Wynfrid Kriegleder, Alexander Ritter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Charles Sealsfield und der transatlantische ustausch im 19. Jahrhundert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 Verlag, 2018, pp. 143–158.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40E8">
        <w:rPr>
          <w:rFonts w:ascii="Times New Roman" w:hAnsi="Times New Roman"/>
          <w:sz w:val="24"/>
          <w:szCs w:val="24"/>
        </w:rPr>
        <w:t>János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Szabolcs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</w:rPr>
        <w:t>Hálózatok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és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egyéni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kapcsolatrendszerek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id. </w:t>
      </w:r>
      <w:proofErr w:type="spellStart"/>
      <w:r w:rsidRPr="00B240E8">
        <w:rPr>
          <w:rFonts w:ascii="Times New Roman" w:hAnsi="Times New Roman"/>
          <w:sz w:val="24"/>
          <w:szCs w:val="24"/>
        </w:rPr>
        <w:t>Wesselényi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Miklós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báró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színházi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levelezésében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. In: </w:t>
      </w:r>
      <w:proofErr w:type="spellStart"/>
      <w:r w:rsidRPr="00B240E8">
        <w:rPr>
          <w:rFonts w:ascii="Times New Roman" w:hAnsi="Times New Roman"/>
          <w:sz w:val="24"/>
          <w:szCs w:val="24"/>
        </w:rPr>
        <w:t>Biró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Annamária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</w:rPr>
        <w:t>Boka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László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(ed.): </w:t>
      </w:r>
      <w:proofErr w:type="spellStart"/>
      <w:r w:rsidRPr="00B240E8">
        <w:rPr>
          <w:rFonts w:ascii="Times New Roman" w:hAnsi="Times New Roman"/>
          <w:i/>
          <w:sz w:val="24"/>
          <w:szCs w:val="24"/>
        </w:rPr>
        <w:t>Értelmiségi</w:t>
      </w:r>
      <w:proofErr w:type="spellEnd"/>
      <w:r w:rsidRPr="00B240E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i/>
          <w:sz w:val="24"/>
          <w:szCs w:val="24"/>
        </w:rPr>
        <w:t>karriertörténetek</w:t>
      </w:r>
      <w:proofErr w:type="spellEnd"/>
      <w:r w:rsidRPr="00B240E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i/>
          <w:sz w:val="24"/>
          <w:szCs w:val="24"/>
        </w:rPr>
        <w:t>kapcsolathálók</w:t>
      </w:r>
      <w:proofErr w:type="spellEnd"/>
      <w:r w:rsidRPr="00B240E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i/>
          <w:sz w:val="24"/>
          <w:szCs w:val="24"/>
        </w:rPr>
        <w:t>írócsoportosulások</w:t>
      </w:r>
      <w:proofErr w:type="spellEnd"/>
      <w:r w:rsidRPr="00B240E8">
        <w:rPr>
          <w:rFonts w:ascii="Times New Roman" w:hAnsi="Times New Roman"/>
          <w:i/>
          <w:sz w:val="24"/>
          <w:szCs w:val="24"/>
        </w:rPr>
        <w:t xml:space="preserve"> 3.</w:t>
      </w:r>
      <w:r w:rsidRPr="00B240E8">
        <w:rPr>
          <w:rFonts w:ascii="Times New Roman" w:hAnsi="Times New Roman"/>
          <w:sz w:val="24"/>
          <w:szCs w:val="24"/>
        </w:rPr>
        <w:t xml:space="preserve">, Budapest; </w:t>
      </w:r>
      <w:proofErr w:type="spellStart"/>
      <w:r w:rsidRPr="00B240E8">
        <w:rPr>
          <w:rFonts w:ascii="Times New Roman" w:hAnsi="Times New Roman"/>
          <w:sz w:val="24"/>
          <w:szCs w:val="24"/>
        </w:rPr>
        <w:t>Nagyvárad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</w:rPr>
        <w:t>Reciti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B240E8">
        <w:rPr>
          <w:rFonts w:ascii="Times New Roman" w:hAnsi="Times New Roman"/>
          <w:sz w:val="24"/>
          <w:szCs w:val="24"/>
        </w:rPr>
        <w:t>Partium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Kiadó</w:t>
      </w:r>
      <w:proofErr w:type="spellEnd"/>
      <w:r w:rsidRPr="00B240E8">
        <w:rPr>
          <w:rFonts w:ascii="Times New Roman" w:hAnsi="Times New Roman"/>
          <w:sz w:val="24"/>
          <w:szCs w:val="24"/>
        </w:rPr>
        <w:t>, 2018, pp. 105–116.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lastRenderedPageBreak/>
        <w:t xml:space="preserve">János Szabolcs, Die siebenbürgischen Harteneck-Bearbeitungen am Schnittpunkt von konkurrierenden Erinnerungsdiskursen. In: Boszák Gizella, Nagy Ágota, Bánffi-Benedek Andrea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Netzwerke und Transferprozesse. Studien aus dem Bereich der Germanistik 14.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 Verlag, 2018, pp. 105–117.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Regionen und/oder Dreiländerecke? Die regionalen Kulturen Siebenbürgens und des Banats in den Reiseberichten des 18.–19. Jahrhunderts. In: Dácz Enikő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Räumliche Semantisierungen. Raumkonstruktionen in den deutschsprachigen Literaturen aus Zentral- und Südosteuropa im 20.–21. Jahrhundert</w:t>
      </w:r>
      <w:r w:rsidRPr="00B240E8">
        <w:rPr>
          <w:rFonts w:ascii="Times New Roman" w:hAnsi="Times New Roman"/>
          <w:sz w:val="24"/>
          <w:szCs w:val="24"/>
          <w:lang w:val="de-AT"/>
        </w:rPr>
        <w:t>, Regensburg, Verlag Friedrich Pustet, 2018, pp. 139–154.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Die Vielvölkerregionen Siebenbürgen und das Banat in den Reisebeschreibungen des 18. Jahrhunderts. In: Jónácsik László, Berzeviczy Klára, Lőkös Péter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Mitteleuropäischer Kulturraum. Völker und religiöse Gruppen des Königreichs Ungarn in der deutschsprachigen Literatur und Presse (16.–19. Jahrhundert).</w:t>
      </w:r>
      <w:r w:rsidRPr="00B240E8">
        <w:rPr>
          <w:rFonts w:ascii="Times New Roman" w:hAnsi="Times New Roman"/>
          <w:sz w:val="24"/>
          <w:szCs w:val="24"/>
          <w:lang w:val="de-AT"/>
        </w:rPr>
        <w:t>, Berlin, Frank&amp;Timme Verlag, 2015, pp. 127–140.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Ungarn und Siebenbürgen in Reiseberichten des 18. Jahrhunderts. In: Hillenbrand Rainer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Erinnerungskultur. Poetische, kulturelle und politische Erinnerungsphänomene in der deutschen Literatur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Praesens, 2015, pp. 59–71.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„Freund des Vaterlandes, der Wahrheit, der Tugend…“ Lebens- und Schaffensbedingungen des Gelehrtenstandes in Siebenbürgen am Ende des 18. Jahrhunderts. In: János Szabolcs, Nagy Ágota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Krisen als Wendepunkte. Studien aus dem Bereich der Germanistik. Beiträge der V. Internationalen Germanistentagung an der Christlichen Universität Partium, Oradea, 6.–8. September 2012.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Praesens, 2015, pp. 19–32.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„Freund des Vaterlandes, der Wahrheit, der Tugend…“: Lebens- und Schaffensbedingungen des Gelehrtenstandes in Siebenbürgen am Ende des 18. Jahrhunderts. In: Nagy Ágota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 xml:space="preserve">Krisen als Wendepunkte.: Studien aus dem Bereich der Germanistik. Beiträge der V. Internationalen Germanistentagung an der Christlichen Universität Partium, Oradea, 6.–8. </w:t>
      </w:r>
      <w:r w:rsidRPr="00B240E8">
        <w:rPr>
          <w:rFonts w:ascii="Times New Roman" w:hAnsi="Times New Roman"/>
          <w:i/>
          <w:sz w:val="24"/>
          <w:szCs w:val="24"/>
        </w:rPr>
        <w:t>September 2012</w:t>
      </w:r>
      <w:r w:rsidRPr="00B240E8">
        <w:rPr>
          <w:rFonts w:ascii="Times New Roman" w:hAnsi="Times New Roman"/>
          <w:sz w:val="24"/>
          <w:szCs w:val="24"/>
        </w:rPr>
        <w:t xml:space="preserve">, Wien, </w:t>
      </w:r>
      <w:proofErr w:type="spellStart"/>
      <w:r w:rsidRPr="00B240E8">
        <w:rPr>
          <w:rFonts w:ascii="Times New Roman" w:hAnsi="Times New Roman"/>
          <w:sz w:val="24"/>
          <w:szCs w:val="24"/>
        </w:rPr>
        <w:t>Praesens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Verlag</w:t>
      </w:r>
      <w:proofErr w:type="spellEnd"/>
      <w:r w:rsidRPr="00B240E8">
        <w:rPr>
          <w:rFonts w:ascii="Times New Roman" w:hAnsi="Times New Roman"/>
          <w:sz w:val="24"/>
          <w:szCs w:val="24"/>
        </w:rPr>
        <w:t>, 2015, pp. 19–32.</w:t>
      </w:r>
    </w:p>
    <w:p w:rsidR="001A431F" w:rsidRPr="00B240E8" w:rsidRDefault="001A431F" w:rsidP="001A43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Szabolcs, Kultúrmisszió és/vagy szakképzés – az erdélyi magyar magánegyetemi rendszer feladatai és perspektívái. In: Pálfi József, Lévai Attila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Kettős kisebbségben: A Selye János Egyetem Református Teológiai Kara és a Partiumi Keresztény Egyetem nemzetközi konferenciájának tanulmányai</w:t>
      </w:r>
      <w:r w:rsidRPr="00B240E8">
        <w:rPr>
          <w:rFonts w:ascii="Times New Roman" w:hAnsi="Times New Roman"/>
          <w:sz w:val="24"/>
          <w:szCs w:val="24"/>
          <w:lang w:val="de-AT"/>
        </w:rPr>
        <w:t>, Komárno, Selye János Egyetem, 2014, pp. 155–165.</w:t>
      </w:r>
      <w:r w:rsidRPr="00B240E8">
        <w:rPr>
          <w:rFonts w:ascii="Times New Roman" w:hAnsi="Times New Roman"/>
          <w:sz w:val="24"/>
          <w:szCs w:val="24"/>
          <w:lang w:val="de-AT"/>
        </w:rPr>
        <w:cr/>
      </w:r>
    </w:p>
    <w:p w:rsidR="001A431F" w:rsidRPr="00B240E8" w:rsidRDefault="001A431F" w:rsidP="001A431F">
      <w:pPr>
        <w:spacing w:line="320" w:lineRule="atLeast"/>
        <w:jc w:val="both"/>
        <w:rPr>
          <w:lang w:val="ro-RO"/>
        </w:rPr>
      </w:pPr>
    </w:p>
    <w:p w:rsidR="001A431F" w:rsidRPr="00B240E8" w:rsidRDefault="001A431F" w:rsidP="001A431F">
      <w:pPr>
        <w:pStyle w:val="ListParagraph"/>
        <w:numPr>
          <w:ilvl w:val="0"/>
          <w:numId w:val="4"/>
        </w:numPr>
        <w:spacing w:after="0" w:line="320" w:lineRule="atLeast"/>
        <w:ind w:left="426" w:hanging="426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240E8">
        <w:rPr>
          <w:rFonts w:ascii="Times New Roman" w:hAnsi="Times New Roman"/>
          <w:b/>
          <w:sz w:val="24"/>
          <w:szCs w:val="24"/>
          <w:lang w:val="ro-RO"/>
        </w:rPr>
        <w:t>Brevete obţinute în întreaga activitate</w:t>
      </w:r>
    </w:p>
    <w:p w:rsidR="001A431F" w:rsidRPr="00B240E8" w:rsidRDefault="001A431F" w:rsidP="001A431F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1A431F" w:rsidRPr="00B240E8" w:rsidRDefault="001A431F" w:rsidP="001A431F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1A431F" w:rsidRPr="00B240E8" w:rsidRDefault="001A431F" w:rsidP="001A431F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1A431F" w:rsidRPr="00B240E8" w:rsidRDefault="001A431F" w:rsidP="001A431F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Data:</w:t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Semnătura:</w:t>
      </w:r>
    </w:p>
    <w:p w:rsidR="005F0141" w:rsidRPr="001A431F" w:rsidRDefault="001A431F" w:rsidP="001A431F">
      <w:pPr>
        <w:rPr>
          <w:lang w:val="hu-HU"/>
        </w:rPr>
      </w:pPr>
      <w:r w:rsidRPr="00B240E8">
        <w:rPr>
          <w:b/>
          <w:noProof/>
          <w:spacing w:val="-2"/>
          <w:lang w:val="ro-RO"/>
        </w:rPr>
        <w:br w:type="page"/>
      </w:r>
      <w:bookmarkStart w:id="0" w:name="_GoBack"/>
      <w:bookmarkEnd w:id="0"/>
    </w:p>
    <w:sectPr w:rsidR="005F0141" w:rsidRPr="001A4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37BC"/>
    <w:multiLevelType w:val="hybridMultilevel"/>
    <w:tmpl w:val="AE9AE0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937AA"/>
    <w:multiLevelType w:val="hybridMultilevel"/>
    <w:tmpl w:val="5770FC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C1805"/>
    <w:multiLevelType w:val="hybridMultilevel"/>
    <w:tmpl w:val="3844E0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135E7"/>
    <w:multiLevelType w:val="hybridMultilevel"/>
    <w:tmpl w:val="24A4F39C"/>
    <w:lvl w:ilvl="0" w:tplc="EC3079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6C76A4A"/>
    <w:multiLevelType w:val="hybridMultilevel"/>
    <w:tmpl w:val="A890469E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1F"/>
    <w:rsid w:val="001A431F"/>
    <w:rsid w:val="005F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1A431F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1A43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Strong">
    <w:name w:val="Strong"/>
    <w:uiPriority w:val="22"/>
    <w:qFormat/>
    <w:rsid w:val="001A431F"/>
    <w:rPr>
      <w:b/>
    </w:rPr>
  </w:style>
  <w:style w:type="character" w:styleId="Emphasis">
    <w:name w:val="Emphasis"/>
    <w:uiPriority w:val="20"/>
    <w:qFormat/>
    <w:rsid w:val="001A431F"/>
    <w:rPr>
      <w:i/>
    </w:rPr>
  </w:style>
  <w:style w:type="paragraph" w:styleId="NormalWeb">
    <w:name w:val="Normal (Web)"/>
    <w:basedOn w:val="Normal"/>
    <w:uiPriority w:val="99"/>
    <w:unhideWhenUsed/>
    <w:rsid w:val="001A431F"/>
    <w:pPr>
      <w:spacing w:before="100" w:beforeAutospacing="1" w:after="100" w:afterAutospacing="1"/>
    </w:pPr>
    <w:rPr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1A431F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1A43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Strong">
    <w:name w:val="Strong"/>
    <w:uiPriority w:val="22"/>
    <w:qFormat/>
    <w:rsid w:val="001A431F"/>
    <w:rPr>
      <w:b/>
    </w:rPr>
  </w:style>
  <w:style w:type="character" w:styleId="Emphasis">
    <w:name w:val="Emphasis"/>
    <w:uiPriority w:val="20"/>
    <w:qFormat/>
    <w:rsid w:val="001A431F"/>
    <w:rPr>
      <w:i/>
    </w:rPr>
  </w:style>
  <w:style w:type="paragraph" w:styleId="NormalWeb">
    <w:name w:val="Normal (Web)"/>
    <w:basedOn w:val="Normal"/>
    <w:uiPriority w:val="99"/>
    <w:unhideWhenUsed/>
    <w:rsid w:val="001A431F"/>
    <w:pPr>
      <w:spacing w:before="100" w:beforeAutospacing="1" w:after="100" w:afterAutospacing="1"/>
    </w:pPr>
    <w:rPr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2024-11-28T07:02:00Z</dcterms:created>
  <dcterms:modified xsi:type="dcterms:W3CDTF">2024-11-28T07:03:00Z</dcterms:modified>
</cp:coreProperties>
</file>